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ACEF" w14:textId="0553C029" w:rsidR="001708B3" w:rsidRDefault="00617D65">
      <w:pPr>
        <w:pStyle w:val="Heading1"/>
      </w:pPr>
      <w:bookmarkStart w:id="0" w:name="X4a89576a7ada7abc8a5e726b79960d55852a177"/>
      <w:r>
        <w:t xml:space="preserve">Patient Participation Meeting </w:t>
      </w:r>
    </w:p>
    <w:p w14:paraId="56FC4130" w14:textId="77777777" w:rsidR="001708B3" w:rsidRDefault="00000000">
      <w:r>
        <w:pict w14:anchorId="6027BE68">
          <v:rect id="_x0000_i1025" style="width:0;height:1.5pt" o:hralign="center" o:hrstd="t" o:hr="t"/>
        </w:pict>
      </w:r>
    </w:p>
    <w:p w14:paraId="265DABA6" w14:textId="77777777" w:rsidR="001708B3" w:rsidRDefault="008C38FF">
      <w:pPr>
        <w:pStyle w:val="Heading2"/>
      </w:pPr>
      <w:bookmarkStart w:id="1" w:name="keywords"/>
      <w:r>
        <w:t>Keywords</w:t>
      </w:r>
    </w:p>
    <w:p w14:paraId="728ED7A4" w14:textId="77777777" w:rsidR="001708B3" w:rsidRDefault="008C38FF">
      <w:pPr>
        <w:pStyle w:val="FirstParagraph"/>
      </w:pPr>
      <w:r>
        <w:rPr>
          <w:rStyle w:val="VerbatimChar"/>
        </w:rPr>
        <w:t>Neighborhood Care Coordination</w:t>
      </w:r>
      <w:r>
        <w:t xml:space="preserve"> </w:t>
      </w:r>
      <w:r>
        <w:rPr>
          <w:rStyle w:val="VerbatimChar"/>
        </w:rPr>
        <w:t>Social Prescribing</w:t>
      </w:r>
      <w:r>
        <w:t xml:space="preserve"> </w:t>
      </w:r>
      <w:r>
        <w:rPr>
          <w:rStyle w:val="VerbatimChar"/>
        </w:rPr>
        <w:t>Primary Care Network (PCN)</w:t>
      </w:r>
      <w:r>
        <w:t xml:space="preserve"> </w:t>
      </w:r>
      <w:r>
        <w:rPr>
          <w:rStyle w:val="VerbatimChar"/>
        </w:rPr>
        <w:t>Warm Space Plus outreach</w:t>
      </w:r>
      <w:r>
        <w:t xml:space="preserve"> </w:t>
      </w:r>
      <w:r>
        <w:rPr>
          <w:rStyle w:val="VerbatimChar"/>
        </w:rPr>
        <w:t>NHS App access</w:t>
      </w:r>
      <w:r>
        <w:t xml:space="preserve"> </w:t>
      </w:r>
      <w:r>
        <w:rPr>
          <w:rStyle w:val="VerbatimChar"/>
        </w:rPr>
        <w:t>Accurx system rollout</w:t>
      </w:r>
      <w:r>
        <w:t xml:space="preserve"> </w:t>
      </w:r>
      <w:r>
        <w:rPr>
          <w:rStyle w:val="VerbatimChar"/>
        </w:rPr>
        <w:t>Facility expansion</w:t>
      </w:r>
      <w:r>
        <w:t xml:space="preserve"> </w:t>
      </w:r>
      <w:r>
        <w:rPr>
          <w:rStyle w:val="VerbatimChar"/>
        </w:rPr>
        <w:t>Patient navigation</w:t>
      </w:r>
      <w:r>
        <w:t xml:space="preserve"> </w:t>
      </w:r>
      <w:r>
        <w:rPr>
          <w:rStyle w:val="VerbatimChar"/>
        </w:rPr>
        <w:t>Community outreach</w:t>
      </w:r>
    </w:p>
    <w:p w14:paraId="6CF3B4B3" w14:textId="77777777" w:rsidR="001708B3" w:rsidRDefault="008C38FF">
      <w:pPr>
        <w:pStyle w:val="Heading2"/>
      </w:pPr>
      <w:bookmarkStart w:id="2" w:name="meeting-information"/>
      <w:bookmarkEnd w:id="1"/>
      <w:r>
        <w:t>Meeting Information</w:t>
      </w:r>
    </w:p>
    <w:p w14:paraId="5C681643" w14:textId="36F74641" w:rsidR="001708B3" w:rsidRDefault="008C38FF">
      <w:pPr>
        <w:pStyle w:val="BlockText"/>
      </w:pPr>
      <w:r>
        <w:t>Date: 1st December 2025</w:t>
      </w:r>
      <w:r>
        <w:br/>
        <w:t>Location: Ruskington Medical Practice</w:t>
      </w:r>
      <w:r>
        <w:br/>
        <w:t>Practice Participants: Julie Walsh (PM) Jayne Ackland (Office Manager) Sally Bates (NCC), Stephen Franklin (Social Prescriber) Patient Participation Participants: Bernie Harrison, Anne Cunningham, Rebecca Guilliatt, Anthony Rose, Glennys Sanders</w:t>
      </w:r>
    </w:p>
    <w:p w14:paraId="202ADD16" w14:textId="77777777" w:rsidR="001708B3" w:rsidRDefault="008C38FF">
      <w:pPr>
        <w:pStyle w:val="Heading2"/>
      </w:pPr>
      <w:bookmarkStart w:id="3" w:name="meeting-notes"/>
      <w:bookmarkEnd w:id="2"/>
      <w:r>
        <w:t>Meeting Notes</w:t>
      </w:r>
    </w:p>
    <w:p w14:paraId="2770592E" w14:textId="77777777" w:rsidR="001708B3" w:rsidRDefault="008C38FF">
      <w:pPr>
        <w:numPr>
          <w:ilvl w:val="0"/>
          <w:numId w:val="6"/>
        </w:numPr>
      </w:pPr>
      <w:r>
        <w:t>Chair transition and attendance</w:t>
      </w:r>
    </w:p>
    <w:p w14:paraId="1C19F86E" w14:textId="77777777" w:rsidR="001708B3" w:rsidRDefault="008C38FF">
      <w:pPr>
        <w:pStyle w:val="Compact"/>
        <w:numPr>
          <w:ilvl w:val="1"/>
          <w:numId w:val="7"/>
        </w:numPr>
      </w:pPr>
      <w:r>
        <w:t>Caroline Morrice is stepping down as chair due to relocation; Jude has agreed to step up but was absent from today’s meeting.</w:t>
      </w:r>
    </w:p>
    <w:p w14:paraId="2B5C48B6" w14:textId="77777777" w:rsidR="001708B3" w:rsidRDefault="008C38FF">
      <w:pPr>
        <w:pStyle w:val="Compact"/>
        <w:numPr>
          <w:ilvl w:val="1"/>
          <w:numId w:val="7"/>
        </w:numPr>
      </w:pPr>
      <w:r>
        <w:t>Interim chairing managed by JW apologies noted and previous minutes were sent late.</w:t>
      </w:r>
    </w:p>
    <w:p w14:paraId="0E5E432A" w14:textId="77777777" w:rsidR="001708B3" w:rsidRDefault="008C38FF">
      <w:pPr>
        <w:pStyle w:val="Compact"/>
        <w:numPr>
          <w:ilvl w:val="1"/>
          <w:numId w:val="7"/>
        </w:numPr>
      </w:pPr>
      <w:r>
        <w:t>Next meetings planned for first Monday every two months; specific dates to be circulated.</w:t>
      </w:r>
    </w:p>
    <w:p w14:paraId="51435BF4" w14:textId="77777777" w:rsidR="001708B3" w:rsidRDefault="008C38FF">
      <w:pPr>
        <w:numPr>
          <w:ilvl w:val="0"/>
          <w:numId w:val="7"/>
        </w:numPr>
      </w:pPr>
      <w:r>
        <w:t>Role introductions and distinctions</w:t>
      </w:r>
    </w:p>
    <w:p w14:paraId="202B743D" w14:textId="77777777" w:rsidR="001708B3" w:rsidRDefault="008C38FF">
      <w:pPr>
        <w:pStyle w:val="Compact"/>
        <w:numPr>
          <w:ilvl w:val="1"/>
          <w:numId w:val="8"/>
        </w:numPr>
      </w:pPr>
      <w:r>
        <w:t>Sally (Neighborhood Care Coordinator, Sleaford area practices including Billingborough): supports complex health and social needs, conducts home visits, coordinates across services, and documents personalized care plans to maintain continuity.</w:t>
      </w:r>
    </w:p>
    <w:p w14:paraId="3E16FE69" w14:textId="77777777" w:rsidR="001708B3" w:rsidRDefault="008C38FF">
      <w:pPr>
        <w:pStyle w:val="Compact"/>
        <w:numPr>
          <w:ilvl w:val="1"/>
          <w:numId w:val="8"/>
        </w:numPr>
      </w:pPr>
      <w:r>
        <w:t>Stephen (Social Prescriber, K2 Healthcare PCN): provides non-clinical support for social isolation and community connection; typical engagement ~3 months; accepts referrals via self, family, GP, practice teams; collaborates closely with Sally; runs groups (e.g., disabilities group at Ruskington Community Church, first Friday monthly) and uses community spaces like Becky’s Warm Space.</w:t>
      </w:r>
    </w:p>
    <w:p w14:paraId="132AC91B" w14:textId="77777777" w:rsidR="001708B3" w:rsidRDefault="008C38FF">
      <w:pPr>
        <w:numPr>
          <w:ilvl w:val="0"/>
          <w:numId w:val="8"/>
        </w:numPr>
      </w:pPr>
      <w:r>
        <w:lastRenderedPageBreak/>
        <w:t>Practice and PCN structure</w:t>
      </w:r>
    </w:p>
    <w:p w14:paraId="6B71C4CE" w14:textId="77777777" w:rsidR="001708B3" w:rsidRDefault="008C38FF">
      <w:pPr>
        <w:pStyle w:val="Compact"/>
        <w:numPr>
          <w:ilvl w:val="1"/>
          <w:numId w:val="9"/>
        </w:numPr>
      </w:pPr>
      <w:r>
        <w:t>K2 Healthcare federation spans North and South Kesteven with shared staff (NCCs, pharmacists, first contact practitioners, mental health practitioners) across Sleaford and Grantham.</w:t>
      </w:r>
    </w:p>
    <w:p w14:paraId="0698154A" w14:textId="77777777" w:rsidR="001708B3" w:rsidRDefault="008C38FF">
      <w:pPr>
        <w:pStyle w:val="Compact"/>
        <w:numPr>
          <w:ilvl w:val="1"/>
          <w:numId w:val="9"/>
        </w:numPr>
      </w:pPr>
      <w:r>
        <w:t>Sleaford PCN includes six practices: the hosting practice, Sleaford Medical Group, Billingborough, Billinghay, Caythorpe, and Millview; Grantham PCN has ten practices.</w:t>
      </w:r>
    </w:p>
    <w:p w14:paraId="13757481" w14:textId="77777777" w:rsidR="001708B3" w:rsidRDefault="008C38FF">
      <w:pPr>
        <w:numPr>
          <w:ilvl w:val="0"/>
          <w:numId w:val="9"/>
        </w:numPr>
      </w:pPr>
      <w:r>
        <w:t>Identifying and addressing patient needs</w:t>
      </w:r>
    </w:p>
    <w:p w14:paraId="1C032A52" w14:textId="77777777" w:rsidR="001708B3" w:rsidRDefault="008C38FF">
      <w:pPr>
        <w:pStyle w:val="Compact"/>
        <w:numPr>
          <w:ilvl w:val="1"/>
          <w:numId w:val="10"/>
        </w:numPr>
      </w:pPr>
      <w:r>
        <w:t>Non-clinical staff (navigators, dispensary) detect welfare concerns (bereavement, neglected appearance) and refer via Andy (clinical care lead) to NCC/social prescriber.</w:t>
      </w:r>
    </w:p>
    <w:p w14:paraId="407B3AC5" w14:textId="77777777" w:rsidR="001708B3" w:rsidRDefault="008C38FF">
      <w:pPr>
        <w:pStyle w:val="Compact"/>
        <w:numPr>
          <w:ilvl w:val="1"/>
          <w:numId w:val="10"/>
        </w:numPr>
      </w:pPr>
      <w:r>
        <w:t>Emphasis on non-pharmacological solutions and neighborhood working to address underlying social determinants of health.</w:t>
      </w:r>
    </w:p>
    <w:p w14:paraId="528A6D22" w14:textId="77777777" w:rsidR="001708B3" w:rsidRDefault="008C38FF">
      <w:pPr>
        <w:pStyle w:val="Compact"/>
        <w:numPr>
          <w:ilvl w:val="1"/>
          <w:numId w:val="10"/>
        </w:numPr>
      </w:pPr>
      <w:r>
        <w:t>Andy’s role includes hospital admission avoidance and supporting safe care at home; awareness of A&amp;E triage prioritizing clinical urgency.</w:t>
      </w:r>
    </w:p>
    <w:p w14:paraId="23899BD4" w14:textId="77777777" w:rsidR="001708B3" w:rsidRDefault="008C38FF">
      <w:pPr>
        <w:numPr>
          <w:ilvl w:val="0"/>
          <w:numId w:val="10"/>
        </w:numPr>
      </w:pPr>
      <w:r>
        <w:t>Community support and outreach</w:t>
      </w:r>
    </w:p>
    <w:p w14:paraId="712BCBC2" w14:textId="77777777" w:rsidR="001708B3" w:rsidRDefault="008C38FF">
      <w:pPr>
        <w:pStyle w:val="Compact"/>
        <w:numPr>
          <w:ilvl w:val="1"/>
          <w:numId w:val="11"/>
        </w:numPr>
      </w:pPr>
      <w:r>
        <w:t>Warm Space Plus outreach event attended by Bernie, Jayne, Neil, Jodie, and Katie (IT Transformation team) to assist with NHS App setup, including proxy access; &gt;25 attendees; positive feedback and follow-up at the dispensary.</w:t>
      </w:r>
    </w:p>
    <w:p w14:paraId="3834D713" w14:textId="77777777" w:rsidR="001708B3" w:rsidRDefault="008C38FF">
      <w:pPr>
        <w:pStyle w:val="Compact"/>
        <w:numPr>
          <w:ilvl w:val="1"/>
          <w:numId w:val="11"/>
        </w:numPr>
      </w:pPr>
      <w:r>
        <w:t>Practical device support: staff currently use Android; plan to acquire an Apple iPad to support iOS users; challenges with Apple ID credentials noted.</w:t>
      </w:r>
    </w:p>
    <w:p w14:paraId="5E2BC8A5" w14:textId="77777777" w:rsidR="001708B3" w:rsidRDefault="008C38FF">
      <w:pPr>
        <w:pStyle w:val="Compact"/>
        <w:numPr>
          <w:ilvl w:val="1"/>
          <w:numId w:val="11"/>
        </w:numPr>
      </w:pPr>
      <w:r>
        <w:t>Case examples: Christine and Glenis gained proxy access after on-site troubleshooting with NHS England; attendees appreciated dedicated support outside busy reception.</w:t>
      </w:r>
    </w:p>
    <w:p w14:paraId="50BD4C7D" w14:textId="77777777" w:rsidR="001708B3" w:rsidRDefault="008C38FF">
      <w:pPr>
        <w:pStyle w:val="Compact"/>
        <w:numPr>
          <w:ilvl w:val="1"/>
          <w:numId w:val="11"/>
        </w:numPr>
      </w:pPr>
      <w:r>
        <w:t>Ongoing community initiatives: food bank donations, “cosmos packs” for children, Grantham homelessness support (church lunches, toiletries/towel collections), “Warm Space” sessions enabling peer support and private conversations.</w:t>
      </w:r>
    </w:p>
    <w:p w14:paraId="092C3C7E" w14:textId="77777777" w:rsidR="001708B3" w:rsidRDefault="008C38FF">
      <w:pPr>
        <w:pStyle w:val="Compact"/>
        <w:numPr>
          <w:ilvl w:val="1"/>
          <w:numId w:val="11"/>
        </w:numPr>
      </w:pPr>
      <w:r>
        <w:t>Invitation to WI meeting in Jan/Feb for outreach; participants requested private follow-ups with Sally and Stephen.</w:t>
      </w:r>
    </w:p>
    <w:p w14:paraId="01196287" w14:textId="77777777" w:rsidR="001708B3" w:rsidRDefault="008C38FF">
      <w:pPr>
        <w:numPr>
          <w:ilvl w:val="0"/>
          <w:numId w:val="11"/>
        </w:numPr>
      </w:pPr>
      <w:r>
        <w:t>Digital access and operational changes</w:t>
      </w:r>
    </w:p>
    <w:p w14:paraId="45E583B9" w14:textId="77777777" w:rsidR="001708B3" w:rsidRDefault="008C38FF">
      <w:pPr>
        <w:pStyle w:val="Compact"/>
        <w:numPr>
          <w:ilvl w:val="1"/>
          <w:numId w:val="12"/>
        </w:numPr>
      </w:pPr>
      <w:r>
        <w:t>Accurx rolled out; printed metrics reviewed. System cites &gt;60 requests/day; actual volumes vary (e.g., 126 on Monday), with 108 self-submitted via the website and fewer via NHS App. No complaints since switching from Anima; staff find Accurx easier.</w:t>
      </w:r>
    </w:p>
    <w:p w14:paraId="10FB3045" w14:textId="77777777" w:rsidR="001708B3" w:rsidRDefault="008C38FF">
      <w:pPr>
        <w:pStyle w:val="Compact"/>
        <w:numPr>
          <w:ilvl w:val="1"/>
          <w:numId w:val="12"/>
        </w:numPr>
      </w:pPr>
      <w:r>
        <w:t>Service hours 08:00–18:30 with continuous clinical triage; increased clinician time filtering requests; surge near 18:30 noted. Need patient-facing “clinical safe capacity” messaging while maintaining triage.</w:t>
      </w:r>
    </w:p>
    <w:p w14:paraId="0F7780C4" w14:textId="77777777" w:rsidR="001708B3" w:rsidRDefault="008C38FF">
      <w:pPr>
        <w:pStyle w:val="Compact"/>
        <w:numPr>
          <w:ilvl w:val="1"/>
          <w:numId w:val="12"/>
        </w:numPr>
      </w:pPr>
      <w:r>
        <w:lastRenderedPageBreak/>
        <w:t>Patients advised to contact 08:00–09:00 for same-day review due to MDT scheduling; non-urgent items scheduled routinely.</w:t>
      </w:r>
    </w:p>
    <w:p w14:paraId="76938D6E" w14:textId="77777777" w:rsidR="001708B3" w:rsidRDefault="008C38FF">
      <w:pPr>
        <w:pStyle w:val="Compact"/>
        <w:numPr>
          <w:ilvl w:val="1"/>
          <w:numId w:val="12"/>
        </w:numPr>
      </w:pPr>
      <w:r>
        <w:t>Waiting room: fewer visible queues due to booked time slots; historic drop-in model ended for safety and quality, with flu season as an exception.</w:t>
      </w:r>
    </w:p>
    <w:p w14:paraId="15A5B7F0" w14:textId="77777777" w:rsidR="001708B3" w:rsidRDefault="008C38FF">
      <w:pPr>
        <w:pStyle w:val="Compact"/>
        <w:numPr>
          <w:ilvl w:val="1"/>
          <w:numId w:val="12"/>
        </w:numPr>
      </w:pPr>
      <w:r>
        <w:t>Encourage use of NHS App and online portals (Accurx/System Online; local differences like AskMyGP); patients can filter records by disease area; veterans must request military records personally. Plan to expand social media presence (Facebook, Instagram, TikTok) for broader engagement.</w:t>
      </w:r>
    </w:p>
    <w:p w14:paraId="118E3926" w14:textId="77777777" w:rsidR="001708B3" w:rsidRDefault="008C38FF">
      <w:pPr>
        <w:numPr>
          <w:ilvl w:val="0"/>
          <w:numId w:val="12"/>
        </w:numPr>
      </w:pPr>
      <w:r>
        <w:t>Staffing updates and recruitment</w:t>
      </w:r>
    </w:p>
    <w:p w14:paraId="18331ACF" w14:textId="77777777" w:rsidR="001708B3" w:rsidRDefault="008C38FF">
      <w:pPr>
        <w:pStyle w:val="Compact"/>
        <w:numPr>
          <w:ilvl w:val="1"/>
          <w:numId w:val="13"/>
        </w:numPr>
      </w:pPr>
      <w:r>
        <w:t>Jo retired (starting a dog grooming business); Karen leaving on the 17th.</w:t>
      </w:r>
    </w:p>
    <w:p w14:paraId="7B982CEB" w14:textId="77777777" w:rsidR="001708B3" w:rsidRDefault="008C38FF">
      <w:pPr>
        <w:pStyle w:val="Compact"/>
        <w:numPr>
          <w:ilvl w:val="1"/>
          <w:numId w:val="13"/>
        </w:numPr>
      </w:pPr>
      <w:r>
        <w:t>New nurses: Michelle (lead; COPD/asthma specialist) and Emma.</w:t>
      </w:r>
    </w:p>
    <w:p w14:paraId="18003CA4" w14:textId="77777777" w:rsidR="001708B3" w:rsidRDefault="008C38FF">
      <w:pPr>
        <w:pStyle w:val="Compact"/>
        <w:numPr>
          <w:ilvl w:val="1"/>
          <w:numId w:val="13"/>
        </w:numPr>
      </w:pPr>
      <w:r>
        <w:t>Interviews for a Patient Navigator to replace Amy; exploring apprenticeship pathway for an additional role.</w:t>
      </w:r>
    </w:p>
    <w:p w14:paraId="5C23306D" w14:textId="77777777" w:rsidR="001708B3" w:rsidRDefault="008C38FF">
      <w:pPr>
        <w:pStyle w:val="Compact"/>
        <w:numPr>
          <w:ilvl w:val="1"/>
          <w:numId w:val="13"/>
        </w:numPr>
      </w:pPr>
      <w:r>
        <w:t>Strong recruitment interest (25 applications; posting closed early) from varied backgrounds (schools, RAF ex-nurse seeking reduced responsibility).</w:t>
      </w:r>
    </w:p>
    <w:p w14:paraId="4D059F10" w14:textId="77777777" w:rsidR="001708B3" w:rsidRDefault="008C38FF">
      <w:pPr>
        <w:pStyle w:val="Compact"/>
        <w:numPr>
          <w:ilvl w:val="1"/>
          <w:numId w:val="13"/>
        </w:numPr>
      </w:pPr>
      <w:r>
        <w:t>PPG recruitment aims to expand membership, including a wheelchair user; eligibility linked to practice registration; outreach to local groups (bowls club, WI, village events).</w:t>
      </w:r>
    </w:p>
    <w:p w14:paraId="6BB3FE01" w14:textId="77777777" w:rsidR="001708B3" w:rsidRDefault="008C38FF">
      <w:pPr>
        <w:numPr>
          <w:ilvl w:val="0"/>
          <w:numId w:val="13"/>
        </w:numPr>
      </w:pPr>
      <w:r>
        <w:t>Facility expansion and room utilization</w:t>
      </w:r>
    </w:p>
    <w:p w14:paraId="73245A5B" w14:textId="51EC9323" w:rsidR="001708B3" w:rsidRDefault="008C38FF">
      <w:pPr>
        <w:pStyle w:val="Compact"/>
        <w:numPr>
          <w:ilvl w:val="1"/>
          <w:numId w:val="14"/>
        </w:numPr>
      </w:pPr>
      <w:r>
        <w:t>Proposal for 11 rooms to achieve training practice status; Dr W</w:t>
      </w:r>
      <w:r w:rsidR="006A3884">
        <w:t>iseman</w:t>
      </w:r>
      <w:r>
        <w:t xml:space="preserve"> aims to become a training practice for junior doctors.</w:t>
      </w:r>
    </w:p>
    <w:p w14:paraId="54AB47C6" w14:textId="77777777" w:rsidR="001708B3" w:rsidRDefault="008C38FF">
      <w:pPr>
        <w:pStyle w:val="Compact"/>
        <w:numPr>
          <w:ilvl w:val="1"/>
          <w:numId w:val="14"/>
        </w:numPr>
      </w:pPr>
      <w:r>
        <w:t>Current constraints: limited spare rooms, upstairs access concerns, disability compliance; considering knocking through walls and converting spaces for flexible clinical and community use.</w:t>
      </w:r>
    </w:p>
    <w:p w14:paraId="49ED545D" w14:textId="77777777" w:rsidR="001708B3" w:rsidRDefault="008C38FF">
      <w:pPr>
        <w:pStyle w:val="Compact"/>
        <w:numPr>
          <w:ilvl w:val="1"/>
          <w:numId w:val="14"/>
        </w:numPr>
      </w:pPr>
      <w:r>
        <w:t>Past minor ops room underused; future design to host more services and community activities.</w:t>
      </w:r>
    </w:p>
    <w:p w14:paraId="30CA6108" w14:textId="3CC1D877" w:rsidR="001708B3" w:rsidRDefault="008C38FF">
      <w:pPr>
        <w:pStyle w:val="Compact"/>
        <w:numPr>
          <w:ilvl w:val="1"/>
          <w:numId w:val="14"/>
        </w:numPr>
      </w:pPr>
      <w:r>
        <w:t>Funding strategy includes Section 106 funds (</w:t>
      </w:r>
      <w:r w:rsidR="00C5358B">
        <w:t xml:space="preserve">est </w:t>
      </w:r>
      <w:r>
        <w:t xml:space="preserve">£150,000) associated with new housing; NHS England rent reimbursement required before hosting additional services; exploring regular on-site hospital </w:t>
      </w:r>
      <w:proofErr w:type="gramStart"/>
      <w:r>
        <w:t>consultant</w:t>
      </w:r>
      <w:proofErr w:type="gramEnd"/>
      <w:r>
        <w:t xml:space="preserve"> clinics to shift funding from hospital to practice. </w:t>
      </w:r>
    </w:p>
    <w:p w14:paraId="6FD0297C" w14:textId="77777777" w:rsidR="00C5358B" w:rsidRDefault="00C5358B" w:rsidP="00C5358B">
      <w:pPr>
        <w:pStyle w:val="Compact"/>
        <w:ind w:left="1440"/>
      </w:pPr>
    </w:p>
    <w:p w14:paraId="1F634C5F" w14:textId="77777777" w:rsidR="00617D65" w:rsidRDefault="00617D65" w:rsidP="00617D65">
      <w:pPr>
        <w:pStyle w:val="Compact"/>
      </w:pPr>
    </w:p>
    <w:p w14:paraId="5C4E0C24" w14:textId="77777777" w:rsidR="00617D65" w:rsidRDefault="00617D65" w:rsidP="00617D65">
      <w:pPr>
        <w:pStyle w:val="Compact"/>
      </w:pPr>
    </w:p>
    <w:p w14:paraId="6F6578E9" w14:textId="77777777" w:rsidR="00617D65" w:rsidRDefault="00617D65" w:rsidP="00617D65">
      <w:pPr>
        <w:pStyle w:val="Compact"/>
      </w:pPr>
    </w:p>
    <w:p w14:paraId="715FCA20" w14:textId="77777777" w:rsidR="00617D65" w:rsidRDefault="00617D65" w:rsidP="00617D65">
      <w:pPr>
        <w:pStyle w:val="Compact"/>
      </w:pPr>
    </w:p>
    <w:p w14:paraId="7DC18978" w14:textId="77777777" w:rsidR="00617D65" w:rsidRDefault="00617D65" w:rsidP="00617D65">
      <w:pPr>
        <w:pStyle w:val="Compact"/>
      </w:pPr>
    </w:p>
    <w:p w14:paraId="5EF9434D" w14:textId="77777777" w:rsidR="001708B3" w:rsidRDefault="008C38FF">
      <w:pPr>
        <w:pStyle w:val="Heading2"/>
      </w:pPr>
      <w:bookmarkStart w:id="4" w:name="next-arrangements"/>
      <w:bookmarkEnd w:id="3"/>
      <w:r>
        <w:lastRenderedPageBreak/>
        <w:t>Next Arrangements</w:t>
      </w:r>
    </w:p>
    <w:p w14:paraId="1B97C12F" w14:textId="77777777" w:rsidR="001708B3" w:rsidRDefault="008C38FF">
      <w:pPr>
        <w:pStyle w:val="Compact"/>
        <w:numPr>
          <w:ilvl w:val="0"/>
          <w:numId w:val="15"/>
        </w:numPr>
      </w:pPr>
      <w:r>
        <w:t>Include contact numbers for Social Prescribing (Stephen) and Neighborhood Care Coordinator (Sally) in the minutes.</w:t>
      </w:r>
    </w:p>
    <w:p w14:paraId="3BDD02E6" w14:textId="77777777" w:rsidR="001708B3" w:rsidRDefault="008C38FF">
      <w:pPr>
        <w:pStyle w:val="Compact"/>
        <w:numPr>
          <w:ilvl w:val="0"/>
          <w:numId w:val="18"/>
        </w:numPr>
      </w:pPr>
      <w:r>
        <w:t xml:space="preserve">Provide Becky’s Warm Space schedule and </w:t>
      </w:r>
      <w:proofErr w:type="gramStart"/>
      <w:r>
        <w:t>location;</w:t>
      </w:r>
      <w:proofErr w:type="gramEnd"/>
      <w:r>
        <w:t xml:space="preserve"> plan recurring Warm Space Plus sessions with defined roles and device support coverage.</w:t>
      </w:r>
    </w:p>
    <w:p w14:paraId="28C504E0" w14:textId="77777777" w:rsidR="001708B3" w:rsidRDefault="008C38FF">
      <w:pPr>
        <w:pStyle w:val="Compact"/>
        <w:numPr>
          <w:ilvl w:val="0"/>
          <w:numId w:val="19"/>
        </w:numPr>
      </w:pPr>
      <w:r>
        <w:t>Acquire and set up an Apple iPad for patient support; develop guidance for attendees lacking Apple ID credentials (pre-check steps).</w:t>
      </w:r>
    </w:p>
    <w:p w14:paraId="2958DE9E" w14:textId="77777777" w:rsidR="001708B3" w:rsidRDefault="008C38FF">
      <w:pPr>
        <w:pStyle w:val="Compact"/>
        <w:numPr>
          <w:ilvl w:val="0"/>
          <w:numId w:val="20"/>
        </w:numPr>
      </w:pPr>
      <w:r>
        <w:t>Schedule Andy’s ReSPECT overview early in the new year with group explanation and individual follow-ups at home.</w:t>
      </w:r>
    </w:p>
    <w:p w14:paraId="516113B0" w14:textId="77777777" w:rsidR="001708B3" w:rsidRDefault="008C38FF">
      <w:pPr>
        <w:pStyle w:val="Compact"/>
        <w:numPr>
          <w:ilvl w:val="0"/>
          <w:numId w:val="21"/>
        </w:numPr>
      </w:pPr>
      <w:r>
        <w:t>Define and communicate “clinical safe capacity” messaging within Accurx; establish simple daily reports (request volumes, face-to-face counts) for resource planning.</w:t>
      </w:r>
    </w:p>
    <w:p w14:paraId="143D1AEF" w14:textId="77777777" w:rsidR="001708B3" w:rsidRDefault="008C38FF">
      <w:pPr>
        <w:pStyle w:val="Compact"/>
        <w:numPr>
          <w:ilvl w:val="0"/>
          <w:numId w:val="22"/>
        </w:numPr>
      </w:pPr>
      <w:r>
        <w:t>Invite a nurse practitioner to explain their role at the next meeting.</w:t>
      </w:r>
    </w:p>
    <w:p w14:paraId="073F0E0E" w14:textId="77777777" w:rsidR="001708B3" w:rsidRDefault="008C38FF">
      <w:pPr>
        <w:pStyle w:val="Compact"/>
        <w:numPr>
          <w:ilvl w:val="0"/>
          <w:numId w:val="23"/>
        </w:numPr>
      </w:pPr>
      <w:r>
        <w:t>Post minutes on practice website and Facebook; expand to Instagram/TikTok with a content plan.</w:t>
      </w:r>
    </w:p>
    <w:p w14:paraId="5DCA8361" w14:textId="77777777" w:rsidR="001708B3" w:rsidRDefault="008C38FF">
      <w:pPr>
        <w:pStyle w:val="Compact"/>
        <w:numPr>
          <w:ilvl w:val="0"/>
          <w:numId w:val="26"/>
        </w:numPr>
      </w:pPr>
      <w:r>
        <w:t>Reach out to bowls club and WI to promote PPG; ask the potential candidate at the library about registration and interest.</w:t>
      </w:r>
    </w:p>
    <w:p w14:paraId="3D1F0E89" w14:textId="77777777" w:rsidR="001708B3" w:rsidRDefault="008C38FF">
      <w:pPr>
        <w:pStyle w:val="Compact"/>
        <w:numPr>
          <w:ilvl w:val="0"/>
          <w:numId w:val="27"/>
        </w:numPr>
      </w:pPr>
      <w:r>
        <w:t>Plan layout options ensuring accessibility for all patients.</w:t>
      </w:r>
    </w:p>
    <w:p w14:paraId="640AA1AB" w14:textId="77777777" w:rsidR="00617D65" w:rsidRDefault="00617D65" w:rsidP="00617D65">
      <w:pPr>
        <w:pStyle w:val="Compact"/>
      </w:pPr>
    </w:p>
    <w:p w14:paraId="6914A47E" w14:textId="77777777" w:rsidR="00617D65" w:rsidRPr="006A3884" w:rsidRDefault="00617D65" w:rsidP="00617D65">
      <w:pPr>
        <w:pStyle w:val="Compact"/>
        <w:rPr>
          <w:b/>
          <w:bCs/>
          <w:sz w:val="40"/>
          <w:szCs w:val="40"/>
        </w:rPr>
      </w:pPr>
    </w:p>
    <w:p w14:paraId="4879FD09" w14:textId="3BE23D3A" w:rsidR="006A3884" w:rsidRPr="006A3884" w:rsidRDefault="006A3884" w:rsidP="00617D65">
      <w:pPr>
        <w:pStyle w:val="Compact"/>
        <w:rPr>
          <w:b/>
          <w:bCs/>
          <w:sz w:val="40"/>
          <w:szCs w:val="40"/>
        </w:rPr>
      </w:pPr>
      <w:r w:rsidRPr="006A3884">
        <w:rPr>
          <w:b/>
          <w:bCs/>
          <w:sz w:val="40"/>
          <w:szCs w:val="40"/>
        </w:rPr>
        <w:t>Dates for 2026</w:t>
      </w:r>
    </w:p>
    <w:p w14:paraId="2F91ECB4" w14:textId="77777777" w:rsidR="006A3884" w:rsidRPr="006A3884" w:rsidRDefault="006A3884" w:rsidP="00617D65">
      <w:pPr>
        <w:pStyle w:val="Compact"/>
        <w:rPr>
          <w:b/>
          <w:bCs/>
          <w:sz w:val="40"/>
          <w:szCs w:val="40"/>
        </w:rPr>
      </w:pPr>
    </w:p>
    <w:p w14:paraId="6547DAE7" w14:textId="77777777" w:rsidR="006A3884" w:rsidRPr="006A3884" w:rsidRDefault="006A3884" w:rsidP="00617D65">
      <w:pPr>
        <w:pStyle w:val="Compact"/>
        <w:rPr>
          <w:b/>
          <w:bCs/>
          <w:sz w:val="40"/>
          <w:szCs w:val="40"/>
        </w:rPr>
      </w:pPr>
      <w:r w:rsidRPr="006A3884">
        <w:rPr>
          <w:b/>
          <w:bCs/>
          <w:sz w:val="40"/>
          <w:szCs w:val="40"/>
        </w:rPr>
        <w:t>2</w:t>
      </w:r>
      <w:r w:rsidRPr="006A3884">
        <w:rPr>
          <w:b/>
          <w:bCs/>
          <w:sz w:val="40"/>
          <w:szCs w:val="40"/>
          <w:vertAlign w:val="superscript"/>
        </w:rPr>
        <w:t>nd</w:t>
      </w:r>
      <w:r w:rsidRPr="006A3884">
        <w:rPr>
          <w:b/>
          <w:bCs/>
          <w:sz w:val="40"/>
          <w:szCs w:val="40"/>
        </w:rPr>
        <w:t xml:space="preserve"> February</w:t>
      </w:r>
    </w:p>
    <w:p w14:paraId="2634235A" w14:textId="77777777" w:rsidR="006A3884" w:rsidRPr="006A3884" w:rsidRDefault="006A3884" w:rsidP="00617D65">
      <w:pPr>
        <w:pStyle w:val="Compact"/>
        <w:rPr>
          <w:b/>
          <w:bCs/>
          <w:sz w:val="40"/>
          <w:szCs w:val="40"/>
        </w:rPr>
      </w:pPr>
      <w:r w:rsidRPr="006A3884">
        <w:rPr>
          <w:b/>
          <w:bCs/>
          <w:sz w:val="40"/>
          <w:szCs w:val="40"/>
        </w:rPr>
        <w:t>13</w:t>
      </w:r>
      <w:r w:rsidRPr="006A3884">
        <w:rPr>
          <w:b/>
          <w:bCs/>
          <w:sz w:val="40"/>
          <w:szCs w:val="40"/>
          <w:vertAlign w:val="superscript"/>
        </w:rPr>
        <w:t>th</w:t>
      </w:r>
      <w:r w:rsidRPr="006A3884">
        <w:rPr>
          <w:b/>
          <w:bCs/>
          <w:sz w:val="40"/>
          <w:szCs w:val="40"/>
        </w:rPr>
        <w:t xml:space="preserve"> April </w:t>
      </w:r>
    </w:p>
    <w:p w14:paraId="110D3082" w14:textId="77777777" w:rsidR="006A3884" w:rsidRPr="006A3884" w:rsidRDefault="006A3884" w:rsidP="00617D65">
      <w:pPr>
        <w:pStyle w:val="Compact"/>
        <w:rPr>
          <w:b/>
          <w:bCs/>
          <w:sz w:val="40"/>
          <w:szCs w:val="40"/>
        </w:rPr>
      </w:pPr>
      <w:r w:rsidRPr="006A3884">
        <w:rPr>
          <w:b/>
          <w:bCs/>
          <w:sz w:val="40"/>
          <w:szCs w:val="40"/>
        </w:rPr>
        <w:t>8</w:t>
      </w:r>
      <w:r w:rsidRPr="006A3884">
        <w:rPr>
          <w:b/>
          <w:bCs/>
          <w:sz w:val="40"/>
          <w:szCs w:val="40"/>
          <w:vertAlign w:val="superscript"/>
        </w:rPr>
        <w:t>th</w:t>
      </w:r>
      <w:r w:rsidRPr="006A3884">
        <w:rPr>
          <w:b/>
          <w:bCs/>
          <w:sz w:val="40"/>
          <w:szCs w:val="40"/>
        </w:rPr>
        <w:t xml:space="preserve"> June</w:t>
      </w:r>
    </w:p>
    <w:p w14:paraId="57D6CA44" w14:textId="77777777" w:rsidR="006A3884" w:rsidRPr="006A3884" w:rsidRDefault="006A3884" w:rsidP="00617D65">
      <w:pPr>
        <w:pStyle w:val="Compact"/>
        <w:rPr>
          <w:b/>
          <w:bCs/>
          <w:sz w:val="40"/>
          <w:szCs w:val="40"/>
        </w:rPr>
      </w:pPr>
      <w:r w:rsidRPr="006A3884">
        <w:rPr>
          <w:b/>
          <w:bCs/>
          <w:sz w:val="40"/>
          <w:szCs w:val="40"/>
        </w:rPr>
        <w:t>3</w:t>
      </w:r>
      <w:r w:rsidRPr="006A3884">
        <w:rPr>
          <w:b/>
          <w:bCs/>
          <w:sz w:val="40"/>
          <w:szCs w:val="40"/>
          <w:vertAlign w:val="superscript"/>
        </w:rPr>
        <w:t>rd</w:t>
      </w:r>
      <w:r w:rsidRPr="006A3884">
        <w:rPr>
          <w:b/>
          <w:bCs/>
          <w:sz w:val="40"/>
          <w:szCs w:val="40"/>
        </w:rPr>
        <w:t xml:space="preserve"> August</w:t>
      </w:r>
    </w:p>
    <w:p w14:paraId="4D3CB9F6" w14:textId="77777777" w:rsidR="006A3884" w:rsidRPr="006A3884" w:rsidRDefault="006A3884" w:rsidP="00617D65">
      <w:pPr>
        <w:pStyle w:val="Compact"/>
        <w:rPr>
          <w:b/>
          <w:bCs/>
          <w:sz w:val="40"/>
          <w:szCs w:val="40"/>
        </w:rPr>
      </w:pPr>
      <w:r w:rsidRPr="006A3884">
        <w:rPr>
          <w:b/>
          <w:bCs/>
          <w:sz w:val="40"/>
          <w:szCs w:val="40"/>
        </w:rPr>
        <w:t>5</w:t>
      </w:r>
      <w:r w:rsidRPr="006A3884">
        <w:rPr>
          <w:b/>
          <w:bCs/>
          <w:sz w:val="40"/>
          <w:szCs w:val="40"/>
          <w:vertAlign w:val="superscript"/>
        </w:rPr>
        <w:t>th</w:t>
      </w:r>
      <w:r w:rsidRPr="006A3884">
        <w:rPr>
          <w:b/>
          <w:bCs/>
          <w:sz w:val="40"/>
          <w:szCs w:val="40"/>
        </w:rPr>
        <w:t xml:space="preserve"> October</w:t>
      </w:r>
    </w:p>
    <w:p w14:paraId="04F2473D" w14:textId="3501C612" w:rsidR="006A3884" w:rsidRPr="006A3884" w:rsidRDefault="006A3884" w:rsidP="00617D65">
      <w:pPr>
        <w:pStyle w:val="Compact"/>
        <w:rPr>
          <w:b/>
          <w:bCs/>
          <w:sz w:val="40"/>
          <w:szCs w:val="40"/>
        </w:rPr>
      </w:pPr>
      <w:r w:rsidRPr="006A3884">
        <w:rPr>
          <w:b/>
          <w:bCs/>
          <w:sz w:val="40"/>
          <w:szCs w:val="40"/>
        </w:rPr>
        <w:t>1</w:t>
      </w:r>
      <w:r w:rsidRPr="006A3884">
        <w:rPr>
          <w:b/>
          <w:bCs/>
          <w:sz w:val="40"/>
          <w:szCs w:val="40"/>
          <w:vertAlign w:val="superscript"/>
        </w:rPr>
        <w:t>st</w:t>
      </w:r>
      <w:r w:rsidRPr="006A3884">
        <w:rPr>
          <w:b/>
          <w:bCs/>
          <w:sz w:val="40"/>
          <w:szCs w:val="40"/>
        </w:rPr>
        <w:t xml:space="preserve"> December </w:t>
      </w:r>
      <w:bookmarkEnd w:id="0"/>
      <w:bookmarkEnd w:id="4"/>
    </w:p>
    <w:sectPr w:rsidR="006A3884" w:rsidRPr="006A38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宋体"/>
    <w:charset w:val="86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59825C5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5" w15:restartNumberingAfterBreak="0">
    <w:nsid w:val="0000A991"/>
    <w:multiLevelType w:val="multilevel"/>
    <w:tmpl w:val="CDE8C83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A992"/>
    <w:multiLevelType w:val="multilevel"/>
    <w:tmpl w:val="9EB6493A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7" w15:restartNumberingAfterBreak="0">
    <w:nsid w:val="00A99411"/>
    <w:multiLevelType w:val="multilevel"/>
    <w:tmpl w:val="722C6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25454790">
    <w:abstractNumId w:val="0"/>
  </w:num>
  <w:num w:numId="2" w16cid:durableId="1848398556">
    <w:abstractNumId w:val="2"/>
  </w:num>
  <w:num w:numId="3" w16cid:durableId="1840075167">
    <w:abstractNumId w:val="3"/>
  </w:num>
  <w:num w:numId="4" w16cid:durableId="1470247572">
    <w:abstractNumId w:val="1"/>
  </w:num>
  <w:num w:numId="5" w16cid:durableId="3633085">
    <w:abstractNumId w:val="4"/>
  </w:num>
  <w:num w:numId="6" w16cid:durableId="971859618">
    <w:abstractNumId w:val="5"/>
  </w:num>
  <w:num w:numId="7" w16cid:durableId="1210646971">
    <w:abstractNumId w:val="5"/>
  </w:num>
  <w:num w:numId="8" w16cid:durableId="546572839">
    <w:abstractNumId w:val="5"/>
  </w:num>
  <w:num w:numId="9" w16cid:durableId="1421484316">
    <w:abstractNumId w:val="5"/>
  </w:num>
  <w:num w:numId="10" w16cid:durableId="1555048164">
    <w:abstractNumId w:val="5"/>
  </w:num>
  <w:num w:numId="11" w16cid:durableId="760220843">
    <w:abstractNumId w:val="5"/>
  </w:num>
  <w:num w:numId="12" w16cid:durableId="239215536">
    <w:abstractNumId w:val="5"/>
  </w:num>
  <w:num w:numId="13" w16cid:durableId="1617298282">
    <w:abstractNumId w:val="5"/>
  </w:num>
  <w:num w:numId="14" w16cid:durableId="1021860082">
    <w:abstractNumId w:val="5"/>
  </w:num>
  <w:num w:numId="15" w16cid:durableId="1776747336">
    <w:abstractNumId w:val="6"/>
  </w:num>
  <w:num w:numId="16" w16cid:durableId="1876848950">
    <w:abstractNumId w:val="6"/>
  </w:num>
  <w:num w:numId="17" w16cid:durableId="652027925">
    <w:abstractNumId w:val="6"/>
  </w:num>
  <w:num w:numId="18" w16cid:durableId="1918662909">
    <w:abstractNumId w:val="6"/>
  </w:num>
  <w:num w:numId="19" w16cid:durableId="688992078">
    <w:abstractNumId w:val="6"/>
  </w:num>
  <w:num w:numId="20" w16cid:durableId="240263301">
    <w:abstractNumId w:val="6"/>
  </w:num>
  <w:num w:numId="21" w16cid:durableId="1964380152">
    <w:abstractNumId w:val="6"/>
  </w:num>
  <w:num w:numId="22" w16cid:durableId="1119566087">
    <w:abstractNumId w:val="6"/>
  </w:num>
  <w:num w:numId="23" w16cid:durableId="1662275553">
    <w:abstractNumId w:val="6"/>
  </w:num>
  <w:num w:numId="24" w16cid:durableId="399670953">
    <w:abstractNumId w:val="6"/>
  </w:num>
  <w:num w:numId="25" w16cid:durableId="930578171">
    <w:abstractNumId w:val="6"/>
  </w:num>
  <w:num w:numId="26" w16cid:durableId="341665689">
    <w:abstractNumId w:val="6"/>
  </w:num>
  <w:num w:numId="27" w16cid:durableId="1117916961">
    <w:abstractNumId w:val="6"/>
  </w:num>
  <w:num w:numId="28" w16cid:durableId="202862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CC"/>
    <w:rsid w:val="00012906"/>
    <w:rsid w:val="000C1ABD"/>
    <w:rsid w:val="000D1E8A"/>
    <w:rsid w:val="000F3D3C"/>
    <w:rsid w:val="00103D98"/>
    <w:rsid w:val="0011788E"/>
    <w:rsid w:val="00167011"/>
    <w:rsid w:val="001708B3"/>
    <w:rsid w:val="001824E5"/>
    <w:rsid w:val="001A30C6"/>
    <w:rsid w:val="001B0185"/>
    <w:rsid w:val="001B2E68"/>
    <w:rsid w:val="00271600"/>
    <w:rsid w:val="00275E2C"/>
    <w:rsid w:val="00284976"/>
    <w:rsid w:val="00290063"/>
    <w:rsid w:val="002D5AAF"/>
    <w:rsid w:val="00315AC2"/>
    <w:rsid w:val="00337933"/>
    <w:rsid w:val="00353684"/>
    <w:rsid w:val="00365A06"/>
    <w:rsid w:val="00386B56"/>
    <w:rsid w:val="003E512C"/>
    <w:rsid w:val="003F6589"/>
    <w:rsid w:val="00402858"/>
    <w:rsid w:val="00455D51"/>
    <w:rsid w:val="004804EF"/>
    <w:rsid w:val="004B1E78"/>
    <w:rsid w:val="004D308B"/>
    <w:rsid w:val="00512CA9"/>
    <w:rsid w:val="005140DE"/>
    <w:rsid w:val="00515E7E"/>
    <w:rsid w:val="005641A8"/>
    <w:rsid w:val="005646E9"/>
    <w:rsid w:val="0057446D"/>
    <w:rsid w:val="00584C65"/>
    <w:rsid w:val="005C33F3"/>
    <w:rsid w:val="00605308"/>
    <w:rsid w:val="00617D65"/>
    <w:rsid w:val="006203D4"/>
    <w:rsid w:val="006A3884"/>
    <w:rsid w:val="006B04C2"/>
    <w:rsid w:val="007453A1"/>
    <w:rsid w:val="007535F6"/>
    <w:rsid w:val="00786E81"/>
    <w:rsid w:val="007938B8"/>
    <w:rsid w:val="008033E1"/>
    <w:rsid w:val="0085162E"/>
    <w:rsid w:val="00865C7C"/>
    <w:rsid w:val="008C38FF"/>
    <w:rsid w:val="00900CCC"/>
    <w:rsid w:val="00932E5F"/>
    <w:rsid w:val="00962302"/>
    <w:rsid w:val="00993CBA"/>
    <w:rsid w:val="009A3D3D"/>
    <w:rsid w:val="009E145E"/>
    <w:rsid w:val="00A21265"/>
    <w:rsid w:val="00A32D7C"/>
    <w:rsid w:val="00A625F9"/>
    <w:rsid w:val="00A7127D"/>
    <w:rsid w:val="00A81885"/>
    <w:rsid w:val="00A82518"/>
    <w:rsid w:val="00A8796D"/>
    <w:rsid w:val="00AB1A36"/>
    <w:rsid w:val="00AC75E8"/>
    <w:rsid w:val="00AD4E46"/>
    <w:rsid w:val="00B221B6"/>
    <w:rsid w:val="00B34BC6"/>
    <w:rsid w:val="00B5019A"/>
    <w:rsid w:val="00BF11CC"/>
    <w:rsid w:val="00C1108E"/>
    <w:rsid w:val="00C14B89"/>
    <w:rsid w:val="00C5358B"/>
    <w:rsid w:val="00C865AB"/>
    <w:rsid w:val="00C9144D"/>
    <w:rsid w:val="00C94844"/>
    <w:rsid w:val="00CC71FF"/>
    <w:rsid w:val="00DB673F"/>
    <w:rsid w:val="00E04222"/>
    <w:rsid w:val="00E07649"/>
    <w:rsid w:val="00E64F6C"/>
    <w:rsid w:val="00EC331D"/>
    <w:rsid w:val="00F15494"/>
    <w:rsid w:val="00F75CC4"/>
    <w:rsid w:val="00FC1DF5"/>
    <w:rsid w:val="00FC30D7"/>
    <w:rsid w:val="00FD44F7"/>
    <w:rsid w:val="00FE2A30"/>
    <w:rsid w:val="F57A143E"/>
    <w:rsid w:val="FF53E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4FF6"/>
  <w15:docId w15:val="{3A2ED0D2-63A7-4B79-9E33-DC67AFC7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ListNumber2">
    <w:name w:val="List Number 2"/>
    <w:basedOn w:val="Normal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ListNumber">
    <w:name w:val="List Number"/>
    <w:basedOn w:val="Normal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styleId="ListBullet">
    <w:name w:val="List Bullet"/>
    <w:basedOn w:val="Normal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BlockText">
    <w:name w:val="Block Text"/>
    <w:basedOn w:val="BodyText"/>
    <w:next w:val="BodyText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ListBullet2">
    <w:name w:val="List Bullet 2"/>
    <w:basedOn w:val="Normal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Date">
    <w:name w:val="Date"/>
    <w:next w:val="BodyText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Subtitle">
    <w:name w:val="Subtitle"/>
    <w:basedOn w:val="Title"/>
    <w:next w:val="BodyText"/>
    <w:link w:val="SubtitleChar"/>
    <w:uiPriority w:val="11"/>
    <w:qFormat/>
    <w:rPr>
      <w:spacing w:val="15"/>
      <w:sz w:val="28"/>
      <w:szCs w:val="28"/>
    </w:rPr>
  </w:style>
  <w:style w:type="paragraph" w:styleId="Title">
    <w:name w:val="Title"/>
    <w:basedOn w:val="Normal"/>
    <w:next w:val="BodyText"/>
    <w:link w:val="TitleChar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FootnoteText">
    <w:name w:val="footnote text"/>
    <w:basedOn w:val="Normal"/>
    <w:uiPriority w:val="9"/>
    <w:unhideWhenUsed/>
    <w:qFormat/>
  </w:style>
  <w:style w:type="character" w:styleId="Hyperlink">
    <w:name w:val="Hyperlink"/>
    <w:basedOn w:val="DefaultParagraphFont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CaptionChar">
    <w:name w:val="Caption Char"/>
    <w:basedOn w:val="DefaultParagraphFont"/>
    <w:link w:val="Caption"/>
  </w:style>
  <w:style w:type="character" w:styleId="FootnoteReference">
    <w:name w:val="footnote reference"/>
    <w:basedOn w:val="CaptionChar"/>
    <w:rPr>
      <w:vertAlign w:val="superscript"/>
    </w:rPr>
  </w:style>
  <w:style w:type="paragraph" w:customStyle="1" w:styleId="FirstParagraph">
    <w:name w:val="First Paragraph"/>
    <w:basedOn w:val="BodyText"/>
    <w:next w:val="BodyText"/>
    <w:qFormat/>
    <w:rsid w:val="00962302"/>
    <w:pPr>
      <w:spacing w:before="240"/>
    </w:pPr>
  </w:style>
  <w:style w:type="paragraph" w:customStyle="1" w:styleId="Compact">
    <w:name w:val="Compact"/>
    <w:basedOn w:val="BodyText"/>
    <w:qFormat/>
    <w:pPr>
      <w:spacing w:before="36" w:after="36"/>
    </w:p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">
    <w:name w:val="书目1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Normal"/>
    <w:rsid w:val="00962302"/>
    <w:rPr>
      <w:color w:val="000000" w:themeColor="text1"/>
    </w:rPr>
  </w:style>
  <w:style w:type="paragraph" w:customStyle="1" w:styleId="TableCaption">
    <w:name w:val="Table Caption"/>
    <w:basedOn w:val="Caption"/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CaptionChar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CaptionChar"/>
  </w:style>
  <w:style w:type="paragraph" w:customStyle="1" w:styleId="TOC1">
    <w:name w:val="TOC 标题1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FollowedHyperlink">
    <w:name w:val="FollowedHyperlink"/>
    <w:basedOn w:val="DefaultParagraphFont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WALSH, Julie (RUSKINGTON SURGERY)</dc:creator>
  <cp:keywords/>
  <cp:lastModifiedBy>WALSH, Julie (RUSKINGTON SURGERY)</cp:lastModifiedBy>
  <cp:revision>2</cp:revision>
  <cp:lastPrinted>2026-02-02T17:52:00Z</cp:lastPrinted>
  <dcterms:created xsi:type="dcterms:W3CDTF">2026-02-03T07:29:00Z</dcterms:created>
  <dcterms:modified xsi:type="dcterms:W3CDTF">2026-02-03T07:29:00Z</dcterms:modified>
</cp:coreProperties>
</file>